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DC" w:rsidRPr="00B554DC" w:rsidRDefault="00B554DC" w:rsidP="00B554DC">
      <w:pPr>
        <w:spacing w:before="0" w:beforeAutospacing="0" w:after="120" w:afterAutospacing="0" w:line="240" w:lineRule="auto"/>
        <w:ind w:left="0"/>
        <w:outlineLvl w:val="1"/>
        <w:rPr>
          <w:rFonts w:ascii="inherit" w:eastAsia="Times New Roman" w:hAnsi="inherit" w:cs="Arial"/>
          <w:b/>
          <w:bCs/>
          <w:color w:val="00528C"/>
          <w:sz w:val="48"/>
          <w:szCs w:val="48"/>
          <w:lang w:eastAsia="sk-SK"/>
        </w:rPr>
      </w:pPr>
      <w:r w:rsidRPr="00B554DC">
        <w:rPr>
          <w:rFonts w:ascii="inherit" w:eastAsia="Times New Roman" w:hAnsi="inherit" w:cs="Arial"/>
          <w:b/>
          <w:bCs/>
          <w:color w:val="00528C"/>
          <w:sz w:val="48"/>
          <w:szCs w:val="48"/>
          <w:lang w:eastAsia="sk-SK"/>
        </w:rPr>
        <w:t>Prihlásenie na prechodný pobyt</w:t>
      </w:r>
    </w:p>
    <w:p w:rsidR="00B554DC" w:rsidRPr="00B554DC" w:rsidRDefault="00B554DC" w:rsidP="00B554DC">
      <w:pPr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</w:t>
      </w:r>
    </w:p>
    <w:p w:rsidR="00B554DC" w:rsidRPr="00B554DC" w:rsidRDefault="00B554DC" w:rsidP="00B554DC">
      <w:pPr>
        <w:spacing w:before="0" w:beforeAutospacing="0" w:after="158" w:afterAutospacing="0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Prechodným pobytom je pobyt občana mimo objektu trvalého pobytu, to je spravidla tam, kde sa občan dočasne zdržiava z pracovných, študijných, zdravotných, rekreačných a iných dôvodov.</w:t>
      </w: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br/>
        <w:t>Občania sú povinní hlásiť ohlasovni na Mestskom úrade miesto, začiatok a predpokladaný čas prechodného pobytu, ktorý potrvá dlhšie ako 90 dní. (max.5 rokov)</w:t>
      </w: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br/>
        <w:t>Ak prechodný pobyt trvá aj po skončení predpokladaného času, je občan povinný hlásiť prechodný pobyt znova.</w:t>
      </w: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br/>
        <w:t>Zrušenie prechodného pobytu môže občan nahlásiť kedykoľvek v priebehu jeho trvania (vrátenie potvrdenia o hlásení pobytu), ak tak neurobí, prechodný pobyt zaniká automaticky uplynutím doby, na ktorú bol prihlásený.</w:t>
      </w:r>
    </w:p>
    <w:tbl>
      <w:tblPr>
        <w:tblW w:w="0" w:type="auto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tblCellMar>
          <w:left w:w="0" w:type="dxa"/>
          <w:right w:w="0" w:type="dxa"/>
        </w:tblCellMar>
        <w:tblLook w:val="04A0"/>
      </w:tblPr>
      <w:tblGrid>
        <w:gridCol w:w="2254"/>
        <w:gridCol w:w="3015"/>
        <w:gridCol w:w="1125"/>
        <w:gridCol w:w="2768"/>
      </w:tblGrid>
      <w:tr w:rsidR="00B554DC" w:rsidRPr="00B554DC" w:rsidTr="00B554DC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Osoba vybavujúca prihlásenie   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Potrebné doklady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Doba vybavenia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Poplatok</w:t>
            </w:r>
          </w:p>
        </w:tc>
      </w:tr>
      <w:tr w:rsidR="00B554DC" w:rsidRPr="00B554DC" w:rsidTr="00B554DC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Vlastník bytu (domu)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B554DC" w:rsidRPr="00B554DC" w:rsidRDefault="00B554DC" w:rsidP="00E11C0C">
            <w:pPr>
              <w:spacing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prihlásenie na prechodný pobyt  bez poplatku</w:t>
            </w:r>
          </w:p>
          <w:p w:rsidR="00B554DC" w:rsidRPr="00B554DC" w:rsidRDefault="00B554DC" w:rsidP="00B554D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 xml:space="preserve">potvrdenie o prechodnom pobyte 5 €/osoba, platí sa v hotovosti v pokladni </w:t>
            </w:r>
            <w:proofErr w:type="spellStart"/>
            <w:r w:rsidRPr="00B554DC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B554DC" w:rsidRPr="00B554DC" w:rsidTr="00B554DC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Manžel/manželka, nezaopatrené dieťa: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B554DC" w:rsidRPr="00B554DC" w:rsidRDefault="00B554DC" w:rsidP="00B554D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Oznámenie o uzavretí manželstva</w:t>
            </w:r>
          </w:p>
          <w:p w:rsidR="00B554DC" w:rsidRPr="00B554DC" w:rsidRDefault="00B554DC" w:rsidP="00B554D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U dieťaťa rodný list, rozhodnutie súdu o zverení do výchovy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prihlásenie na prechodný pobyt bez poplatku</w:t>
            </w:r>
          </w:p>
          <w:p w:rsidR="00B554DC" w:rsidRPr="00B554DC" w:rsidRDefault="00B554DC" w:rsidP="00B554DC">
            <w:pPr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 xml:space="preserve">potvrdenie o prechodnom pobyte 5 €/osoba, platí sa v hotovosti v pokladni </w:t>
            </w:r>
            <w:proofErr w:type="spellStart"/>
            <w:r w:rsidRPr="00B554DC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B554DC" w:rsidRPr="00B554DC" w:rsidTr="00B554DC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Nájomca bytu (domu):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B554DC" w:rsidRPr="00B554DC" w:rsidRDefault="00B554DC" w:rsidP="00B554DC">
            <w:pPr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Nájomná zmluva  (overené podpisy vlastníkov nehnuteľnosti + uvedená doba nájmu - maximálne 5 rokov)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>prihlásenie na prechodný pobyt bez poplatku</w:t>
            </w:r>
          </w:p>
          <w:p w:rsidR="00B554DC" w:rsidRPr="00B554DC" w:rsidRDefault="00B554DC" w:rsidP="00B554DC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 xml:space="preserve">potvrdenie o prechodnom pobyte 5 €/osoba, platí sa v hotovosti v pokladni </w:t>
            </w:r>
            <w:proofErr w:type="spellStart"/>
            <w:r w:rsidRPr="00B554DC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B554DC" w:rsidRPr="00B554DC" w:rsidTr="00B554DC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 xml:space="preserve">Obyvateľ bez užívacieho, alebo </w:t>
            </w:r>
            <w:r w:rsidRPr="00B554DC">
              <w:rPr>
                <w:rFonts w:eastAsia="Times New Roman"/>
                <w:lang w:eastAsia="sk-SK"/>
              </w:rPr>
              <w:lastRenderedPageBreak/>
              <w:t>vlastníckeho vzťahu k nehnuteľnosti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lastRenderedPageBreak/>
              <w:t xml:space="preserve">Platný občiansky preukaz (v opačnom </w:t>
            </w:r>
            <w:r w:rsidRPr="00B554DC">
              <w:rPr>
                <w:rFonts w:eastAsia="Times New Roman"/>
                <w:lang w:eastAsia="sk-SK"/>
              </w:rPr>
              <w:lastRenderedPageBreak/>
              <w:t>prípade potvrdenie o OP vydané políciou)</w:t>
            </w:r>
          </w:p>
          <w:p w:rsidR="00B554DC" w:rsidRPr="00B554DC" w:rsidRDefault="00B554DC" w:rsidP="00E11C0C">
            <w:pPr>
              <w:spacing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lastRenderedPageBreak/>
              <w:t xml:space="preserve">na </w:t>
            </w:r>
            <w:r w:rsidRPr="00B554DC">
              <w:rPr>
                <w:rFonts w:eastAsia="Times New Roman"/>
                <w:lang w:eastAsia="sk-SK"/>
              </w:rPr>
              <w:lastRenderedPageBreak/>
              <w:t>počkanie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4DC" w:rsidRPr="00B554DC" w:rsidRDefault="00B554DC" w:rsidP="00B554DC">
            <w:pPr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lastRenderedPageBreak/>
              <w:t xml:space="preserve">prihlásenie na prechodný pobyt </w:t>
            </w:r>
            <w:r w:rsidRPr="00B554DC">
              <w:rPr>
                <w:rFonts w:eastAsia="Times New Roman"/>
                <w:lang w:eastAsia="sk-SK"/>
              </w:rPr>
              <w:lastRenderedPageBreak/>
              <w:t>bez poplatku</w:t>
            </w:r>
          </w:p>
          <w:p w:rsidR="00B554DC" w:rsidRPr="00B554DC" w:rsidRDefault="00B554DC" w:rsidP="00B554DC">
            <w:pPr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B554DC">
              <w:rPr>
                <w:rFonts w:eastAsia="Times New Roman"/>
                <w:lang w:eastAsia="sk-SK"/>
              </w:rPr>
              <w:t xml:space="preserve">potvrdenie o prechodnom pobyte 5 €/osoba, platí sa v hotovosti v pokladni </w:t>
            </w:r>
            <w:proofErr w:type="spellStart"/>
            <w:r w:rsidRPr="00B554DC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</w:tbl>
    <w:p w:rsidR="00B554DC" w:rsidRPr="00B554DC" w:rsidRDefault="00B554DC" w:rsidP="00B554DC">
      <w:pPr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B554DC">
        <w:rPr>
          <w:rFonts w:ascii="Arial" w:eastAsia="Times New Roman" w:hAnsi="Arial" w:cs="Arial"/>
          <w:color w:val="333333"/>
          <w:sz w:val="23"/>
          <w:szCs w:val="23"/>
          <w:lang w:eastAsia="sk-SK"/>
        </w:rPr>
        <w:lastRenderedPageBreak/>
        <w:t> </w:t>
      </w:r>
    </w:p>
    <w:p w:rsidR="001053E5" w:rsidRDefault="001053E5"/>
    <w:sectPr w:rsidR="001053E5" w:rsidSect="001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5"/>
    <w:multiLevelType w:val="multilevel"/>
    <w:tmpl w:val="D3CE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E4E89"/>
    <w:multiLevelType w:val="multilevel"/>
    <w:tmpl w:val="371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62B8A"/>
    <w:multiLevelType w:val="multilevel"/>
    <w:tmpl w:val="10E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B33BA"/>
    <w:multiLevelType w:val="multilevel"/>
    <w:tmpl w:val="402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60047"/>
    <w:multiLevelType w:val="multilevel"/>
    <w:tmpl w:val="855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C00BD"/>
    <w:multiLevelType w:val="multilevel"/>
    <w:tmpl w:val="E8C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917EC"/>
    <w:multiLevelType w:val="multilevel"/>
    <w:tmpl w:val="A9E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F592F"/>
    <w:multiLevelType w:val="multilevel"/>
    <w:tmpl w:val="443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4DC"/>
    <w:rsid w:val="001053E5"/>
    <w:rsid w:val="00657FED"/>
    <w:rsid w:val="00B554DC"/>
    <w:rsid w:val="00C46DD9"/>
    <w:rsid w:val="00E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3E5"/>
  </w:style>
  <w:style w:type="paragraph" w:styleId="Nadpis2">
    <w:name w:val="heading 2"/>
    <w:basedOn w:val="Normlny"/>
    <w:link w:val="Nadpis2Char"/>
    <w:uiPriority w:val="9"/>
    <w:qFormat/>
    <w:rsid w:val="00B554DC"/>
    <w:pPr>
      <w:spacing w:line="240" w:lineRule="auto"/>
      <w:ind w:left="0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554DC"/>
    <w:rPr>
      <w:rFonts w:eastAsia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B554DC"/>
    <w:pPr>
      <w:spacing w:line="240" w:lineRule="auto"/>
      <w:ind w:left="0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2022-01-25T07:36:00Z</dcterms:created>
  <dcterms:modified xsi:type="dcterms:W3CDTF">2022-01-25T07:38:00Z</dcterms:modified>
</cp:coreProperties>
</file>